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843" w:rsidRDefault="001165AA" w:rsidP="00915843">
      <w:pPr>
        <w:shd w:val="clear" w:color="auto" w:fill="FFFFFF"/>
        <w:spacing w:line="840" w:lineRule="atLeast"/>
        <w:jc w:val="center"/>
        <w:rPr>
          <w:color w:val="000000"/>
        </w:rPr>
      </w:pPr>
      <w:r>
        <w:rPr>
          <w:noProof/>
          <w:lang w:eastAsia="es-CR"/>
        </w:rPr>
        <w:drawing>
          <wp:inline distT="0" distB="0" distL="0" distR="0">
            <wp:extent cx="1554480" cy="15544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50 año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r w:rsidR="00915843">
        <w:rPr>
          <w:noProof/>
          <w:lang w:eastAsia="es-CR"/>
        </w:rPr>
        <w:drawing>
          <wp:inline distT="0" distB="0" distL="0" distR="0" wp14:anchorId="4613DAC9" wp14:editId="02BD3A86">
            <wp:extent cx="1990090" cy="1075690"/>
            <wp:effectExtent l="0" t="0" r="0" b="0"/>
            <wp:docPr id="2" name="Imagen 2" descr="cid:image002.jpg@01D40D6A.F3ABB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0D6A.F3ABBD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90090" cy="1075690"/>
                    </a:xfrm>
                    <a:prstGeom prst="rect">
                      <a:avLst/>
                    </a:prstGeom>
                    <a:noFill/>
                    <a:ln>
                      <a:noFill/>
                    </a:ln>
                  </pic:spPr>
                </pic:pic>
              </a:graphicData>
            </a:graphic>
          </wp:inline>
        </w:drawing>
      </w:r>
    </w:p>
    <w:p w:rsidR="00B8260A" w:rsidRPr="001C1532" w:rsidRDefault="00B8260A" w:rsidP="00B8260A">
      <w:pPr>
        <w:spacing w:after="0"/>
        <w:jc w:val="center"/>
        <w:rPr>
          <w:rFonts w:ascii="Arial" w:hAnsi="Arial" w:cs="Arial"/>
          <w:color w:val="000000"/>
          <w:sz w:val="24"/>
          <w:szCs w:val="24"/>
        </w:rPr>
      </w:pPr>
    </w:p>
    <w:p w:rsidR="00B8260A" w:rsidRDefault="00B8260A" w:rsidP="00B8260A">
      <w:pPr>
        <w:spacing w:after="0" w:line="240" w:lineRule="auto"/>
        <w:jc w:val="center"/>
        <w:rPr>
          <w:rFonts w:ascii="Arial" w:hAnsi="Arial" w:cs="Arial"/>
          <w:b/>
          <w:bCs/>
          <w:color w:val="000000"/>
          <w:sz w:val="24"/>
          <w:szCs w:val="24"/>
        </w:rPr>
      </w:pPr>
    </w:p>
    <w:p w:rsidR="00B8260A" w:rsidRPr="001C1532" w:rsidRDefault="00B8260A" w:rsidP="00B8260A">
      <w:pPr>
        <w:spacing w:after="0" w:line="240" w:lineRule="auto"/>
        <w:jc w:val="center"/>
        <w:rPr>
          <w:rFonts w:ascii="Arial" w:hAnsi="Arial" w:cs="Arial"/>
          <w:b/>
          <w:bCs/>
          <w:sz w:val="24"/>
          <w:szCs w:val="24"/>
        </w:rPr>
      </w:pPr>
      <w:r w:rsidRPr="001C1532">
        <w:rPr>
          <w:rFonts w:ascii="Arial" w:hAnsi="Arial" w:cs="Arial"/>
          <w:b/>
          <w:bCs/>
          <w:color w:val="000000"/>
          <w:sz w:val="24"/>
          <w:szCs w:val="24"/>
        </w:rPr>
        <w:t>CP</w:t>
      </w:r>
      <w:r w:rsidRPr="001C1532">
        <w:rPr>
          <w:rFonts w:ascii="Arial" w:hAnsi="Arial" w:cs="Arial"/>
          <w:b/>
          <w:bCs/>
          <w:sz w:val="24"/>
          <w:szCs w:val="24"/>
        </w:rPr>
        <w:t>-</w:t>
      </w:r>
      <w:r w:rsidR="00B0756F">
        <w:rPr>
          <w:rFonts w:ascii="Arial" w:hAnsi="Arial" w:cs="Arial"/>
          <w:b/>
          <w:bCs/>
          <w:sz w:val="24"/>
          <w:szCs w:val="24"/>
        </w:rPr>
        <w:t>006</w:t>
      </w:r>
      <w:r w:rsidRPr="001C1532">
        <w:rPr>
          <w:rFonts w:ascii="Arial" w:hAnsi="Arial" w:cs="Arial"/>
          <w:b/>
          <w:bCs/>
          <w:sz w:val="24"/>
          <w:szCs w:val="24"/>
        </w:rPr>
        <w:t>-</w:t>
      </w:r>
      <w:r w:rsidR="001265DA">
        <w:rPr>
          <w:rFonts w:ascii="Arial" w:hAnsi="Arial" w:cs="Arial"/>
          <w:b/>
          <w:bCs/>
          <w:sz w:val="24"/>
          <w:szCs w:val="24"/>
        </w:rPr>
        <w:t>202</w:t>
      </w:r>
      <w:r w:rsidR="009053F9">
        <w:rPr>
          <w:rFonts w:ascii="Arial" w:hAnsi="Arial" w:cs="Arial"/>
          <w:b/>
          <w:bCs/>
          <w:sz w:val="24"/>
          <w:szCs w:val="24"/>
        </w:rPr>
        <w:t>1</w:t>
      </w:r>
    </w:p>
    <w:p w:rsidR="00AD0273" w:rsidRPr="001C1532" w:rsidRDefault="00B8260A" w:rsidP="00AD0273">
      <w:pPr>
        <w:spacing w:after="0" w:line="240" w:lineRule="auto"/>
        <w:jc w:val="center"/>
        <w:rPr>
          <w:rFonts w:ascii="Arial" w:hAnsi="Arial" w:cs="Arial"/>
          <w:b/>
          <w:bCs/>
          <w:sz w:val="24"/>
          <w:szCs w:val="24"/>
        </w:rPr>
      </w:pPr>
      <w:r w:rsidRPr="001C1532">
        <w:rPr>
          <w:rFonts w:ascii="Arial" w:hAnsi="Arial" w:cs="Arial"/>
          <w:b/>
          <w:bCs/>
          <w:sz w:val="24"/>
          <w:szCs w:val="24"/>
        </w:rPr>
        <w:t>Comunicado de prensa</w:t>
      </w:r>
    </w:p>
    <w:p w:rsidR="00AA4277" w:rsidRPr="00EE1287" w:rsidRDefault="00AA4277" w:rsidP="00B8260A">
      <w:pPr>
        <w:jc w:val="center"/>
        <w:rPr>
          <w:rFonts w:ascii="Arial" w:hAnsi="Arial" w:cs="Arial"/>
          <w:b/>
          <w:sz w:val="16"/>
          <w:szCs w:val="16"/>
        </w:rPr>
      </w:pPr>
    </w:p>
    <w:p w:rsidR="00A4154C" w:rsidRPr="00A73858" w:rsidRDefault="00472B48" w:rsidP="0091297C">
      <w:pPr>
        <w:jc w:val="center"/>
        <w:rPr>
          <w:rFonts w:ascii="Arial" w:hAnsi="Arial" w:cs="Arial"/>
          <w:b/>
          <w:sz w:val="36"/>
          <w:szCs w:val="36"/>
        </w:rPr>
      </w:pPr>
      <w:bookmarkStart w:id="0" w:name="_GoBack"/>
      <w:r w:rsidRPr="00472B48">
        <w:rPr>
          <w:rFonts w:ascii="Arial" w:hAnsi="Arial" w:cs="Arial"/>
          <w:b/>
          <w:sz w:val="36"/>
          <w:szCs w:val="36"/>
          <w:lang w:val="es-MX"/>
        </w:rPr>
        <w:t xml:space="preserve">Comisión de preparación de cartel para licitación de monitoreo electrónico entrega para revisión final el borrador de los documentos </w:t>
      </w:r>
      <w:r w:rsidR="00EB7AF2">
        <w:rPr>
          <w:rFonts w:ascii="Arial" w:hAnsi="Arial" w:cs="Arial"/>
          <w:b/>
          <w:sz w:val="36"/>
          <w:szCs w:val="36"/>
          <w:lang w:val="es-MX"/>
        </w:rPr>
        <w:t>licitatorios</w:t>
      </w:r>
      <w:bookmarkEnd w:id="0"/>
    </w:p>
    <w:p w:rsidR="00B019D9" w:rsidRPr="006F0837" w:rsidRDefault="00B019D9" w:rsidP="00B019D9">
      <w:pPr>
        <w:pStyle w:val="Prrafodelista"/>
        <w:numPr>
          <w:ilvl w:val="0"/>
          <w:numId w:val="18"/>
        </w:numPr>
        <w:jc w:val="center"/>
        <w:rPr>
          <w:rFonts w:ascii="Arial" w:hAnsi="Arial" w:cs="Arial"/>
          <w:i/>
          <w:sz w:val="26"/>
          <w:szCs w:val="26"/>
        </w:rPr>
      </w:pPr>
      <w:r>
        <w:rPr>
          <w:rFonts w:ascii="Arial" w:hAnsi="Arial" w:cs="Arial"/>
          <w:i/>
          <w:sz w:val="26"/>
          <w:szCs w:val="26"/>
        </w:rPr>
        <w:t>Publicación del cartel de licitación se llevará a cabo en los próximos días</w:t>
      </w:r>
    </w:p>
    <w:p w:rsidR="006F0837" w:rsidRDefault="00B0756F" w:rsidP="00B0756F">
      <w:pPr>
        <w:pStyle w:val="Prrafodelista"/>
        <w:numPr>
          <w:ilvl w:val="0"/>
          <w:numId w:val="18"/>
        </w:numPr>
        <w:jc w:val="center"/>
        <w:rPr>
          <w:rFonts w:ascii="Arial" w:hAnsi="Arial" w:cs="Arial"/>
          <w:i/>
          <w:sz w:val="26"/>
          <w:szCs w:val="26"/>
        </w:rPr>
      </w:pPr>
      <w:r>
        <w:rPr>
          <w:rFonts w:ascii="Arial" w:hAnsi="Arial" w:cs="Arial"/>
          <w:i/>
          <w:sz w:val="26"/>
          <w:szCs w:val="26"/>
        </w:rPr>
        <w:t>Ministra de Justicia y Paz debe darle visto bueno antes de lanzar convocatoria pública internacional</w:t>
      </w:r>
    </w:p>
    <w:p w:rsidR="008D2C9E" w:rsidRDefault="008D2C9E" w:rsidP="00B0756F">
      <w:pPr>
        <w:pStyle w:val="Prrafodelista"/>
        <w:jc w:val="center"/>
        <w:rPr>
          <w:rFonts w:ascii="Arial" w:hAnsi="Arial" w:cs="Arial"/>
          <w:i/>
          <w:sz w:val="26"/>
          <w:szCs w:val="26"/>
        </w:rPr>
      </w:pPr>
    </w:p>
    <w:p w:rsidR="00EA0259" w:rsidRDefault="00EA0259" w:rsidP="006B42BA">
      <w:pPr>
        <w:jc w:val="center"/>
        <w:rPr>
          <w:rFonts w:ascii="Arial" w:hAnsi="Arial" w:cs="Arial"/>
          <w:b/>
          <w:sz w:val="32"/>
          <w:szCs w:val="32"/>
          <w:lang w:val="es-MX"/>
        </w:rPr>
      </w:pPr>
    </w:p>
    <w:p w:rsidR="00EB7AF2" w:rsidRPr="00EB7AF2" w:rsidRDefault="006B42BA" w:rsidP="00EB7AF2">
      <w:pPr>
        <w:jc w:val="both"/>
        <w:rPr>
          <w:rFonts w:ascii="Arial" w:hAnsi="Arial" w:cs="Arial"/>
          <w:sz w:val="24"/>
          <w:szCs w:val="24"/>
          <w:lang w:val="es-MX"/>
        </w:rPr>
      </w:pPr>
      <w:r w:rsidRPr="000A6567">
        <w:rPr>
          <w:rFonts w:ascii="Arial" w:hAnsi="Arial" w:cs="Arial"/>
          <w:b/>
          <w:sz w:val="24"/>
          <w:szCs w:val="24"/>
          <w:lang w:val="es-MX"/>
        </w:rPr>
        <w:t xml:space="preserve">San José, </w:t>
      </w:r>
      <w:r w:rsidR="00F21462">
        <w:rPr>
          <w:rFonts w:ascii="Arial" w:hAnsi="Arial" w:cs="Arial"/>
          <w:b/>
          <w:sz w:val="24"/>
          <w:szCs w:val="24"/>
          <w:lang w:val="es-MX"/>
        </w:rPr>
        <w:t>28 de enero</w:t>
      </w:r>
      <w:r w:rsidR="003F7F76">
        <w:rPr>
          <w:rFonts w:ascii="Arial" w:hAnsi="Arial" w:cs="Arial"/>
          <w:b/>
          <w:sz w:val="24"/>
          <w:szCs w:val="24"/>
          <w:lang w:val="es-MX"/>
        </w:rPr>
        <w:t xml:space="preserve"> del 202</w:t>
      </w:r>
      <w:r w:rsidR="009053F9">
        <w:rPr>
          <w:rFonts w:ascii="Arial" w:hAnsi="Arial" w:cs="Arial"/>
          <w:b/>
          <w:sz w:val="24"/>
          <w:szCs w:val="24"/>
          <w:lang w:val="es-MX"/>
        </w:rPr>
        <w:t>1</w:t>
      </w:r>
      <w:r w:rsidRPr="000A6567">
        <w:rPr>
          <w:rFonts w:ascii="Arial" w:hAnsi="Arial" w:cs="Arial"/>
          <w:b/>
          <w:sz w:val="24"/>
          <w:szCs w:val="24"/>
          <w:lang w:val="es-MX"/>
        </w:rPr>
        <w:t>.</w:t>
      </w:r>
      <w:r w:rsidRPr="00D3793D">
        <w:rPr>
          <w:rFonts w:ascii="Arial" w:hAnsi="Arial" w:cs="Arial"/>
          <w:sz w:val="24"/>
          <w:szCs w:val="24"/>
          <w:lang w:val="es-MX"/>
        </w:rPr>
        <w:t xml:space="preserve"> </w:t>
      </w:r>
      <w:r w:rsidR="003C4C02">
        <w:rPr>
          <w:rFonts w:ascii="Arial" w:hAnsi="Arial" w:cs="Arial"/>
          <w:sz w:val="24"/>
          <w:szCs w:val="24"/>
          <w:lang w:val="es-MX"/>
        </w:rPr>
        <w:t xml:space="preserve"> </w:t>
      </w:r>
      <w:r w:rsidR="00EB7AF2" w:rsidRPr="00EB7AF2">
        <w:rPr>
          <w:rFonts w:ascii="Arial" w:hAnsi="Arial" w:cs="Arial"/>
          <w:sz w:val="24"/>
          <w:szCs w:val="24"/>
          <w:lang w:val="es-MX"/>
        </w:rPr>
        <w:t>La comisión a cargo de preparar los documentos para la licitación del servicio de monitoreo electrónico presentó</w:t>
      </w:r>
      <w:r w:rsidR="00EB7AF2">
        <w:rPr>
          <w:rFonts w:ascii="Arial" w:hAnsi="Arial" w:cs="Arial"/>
          <w:sz w:val="24"/>
          <w:szCs w:val="24"/>
          <w:lang w:val="es-MX"/>
        </w:rPr>
        <w:t>,</w:t>
      </w:r>
      <w:r w:rsidR="00EB7AF2" w:rsidRPr="00EB7AF2">
        <w:rPr>
          <w:rFonts w:ascii="Arial" w:hAnsi="Arial" w:cs="Arial"/>
          <w:sz w:val="24"/>
          <w:szCs w:val="24"/>
          <w:lang w:val="es-MX"/>
        </w:rPr>
        <w:t xml:space="preserve"> este jueves a la Ministra de Justicia y Paz, Fiorella Salazar Rojas, el borrador para aprobación del compendio de todos los documentos que serán utilizados para el lanzamiento de la licitación pública internacional.</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t>La jerarca informó que la idea es lanzar la convocatoria a la mayor brevedad, una vez que hayan incorporado sus observaciones finales.</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 xml:space="preserve"> “Se ha completado la fase de preparación de los documentos licitatorios varias semanas antes de lo programado</w:t>
      </w:r>
      <w:r>
        <w:rPr>
          <w:rFonts w:ascii="Arial" w:hAnsi="Arial" w:cs="Arial"/>
          <w:sz w:val="24"/>
          <w:szCs w:val="24"/>
          <w:lang w:val="es-MX"/>
        </w:rPr>
        <w:t>. A</w:t>
      </w:r>
      <w:r w:rsidRPr="00EB7AF2">
        <w:rPr>
          <w:rFonts w:ascii="Arial" w:hAnsi="Arial" w:cs="Arial"/>
          <w:sz w:val="24"/>
          <w:szCs w:val="24"/>
          <w:lang w:val="es-MX"/>
        </w:rPr>
        <w:t xml:space="preserve">hora estamos revisando el detalle para asegurar que el proceso cuente con toda la información de la mejor calidad para los potenciales oferentes”. </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t xml:space="preserve">El contrato con el actual prestatario del servicio, la Empresa de Servicios Públicos de Heredia (ESPH) vence el próximo 27 de febrero, por lo que la cartera ministerial solicitó a la Contraloría General de la República (CGR), en diciembre pasado, una autorización para  extender el  plazo del contrato vigente con el fin de cubrir el tiempo </w:t>
      </w:r>
      <w:r w:rsidRPr="00EB7AF2">
        <w:rPr>
          <w:rFonts w:ascii="Arial" w:hAnsi="Arial" w:cs="Arial"/>
          <w:sz w:val="24"/>
          <w:szCs w:val="24"/>
          <w:lang w:val="es-MX"/>
        </w:rPr>
        <w:lastRenderedPageBreak/>
        <w:t xml:space="preserve">que tome el desarrollo de la licitación y la transición con el nuevo proveedor seleccionado. </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Esta extensión permitiría a más de 1800 personas continuar con sus planes de inserción social sin generar desestabilización en la provisión del servicio mientras se migra de un proveedor al siguiente.</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La extensión solicitada al contrato sería “hasta por 24 meses o hasta que se haya realizado la efectiva instalación o migración a la plataforma resultante de la finalización del proceso licitatorio para la selección de un nuevo proveedor de la solución integral de mecanismos electrónicos de seguimiento en materia penal (lo que ocurra primero)”. Esta solicitud está amparada al Reglamento de la Ley de Contratación Administrativa que rige el contrato.</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t xml:space="preserve">Para la elaboración del borrador del nuevo cartel, la comisión tomó en cuenta el estudio de mercado elaborado por la Unidad de Atención a Personas Sujetas a Monitoreo con Dispositivo Electrónico (UME), así como el informe de lecciones aprendidas durante el cambio de tecnología que </w:t>
      </w:r>
      <w:r>
        <w:rPr>
          <w:rFonts w:ascii="Arial" w:hAnsi="Arial" w:cs="Arial"/>
          <w:sz w:val="24"/>
          <w:szCs w:val="24"/>
          <w:lang w:val="es-MX"/>
        </w:rPr>
        <w:t xml:space="preserve">se </w:t>
      </w:r>
      <w:r w:rsidRPr="00EB7AF2">
        <w:rPr>
          <w:rFonts w:ascii="Arial" w:hAnsi="Arial" w:cs="Arial"/>
          <w:sz w:val="24"/>
          <w:szCs w:val="24"/>
          <w:lang w:val="es-MX"/>
        </w:rPr>
        <w:t xml:space="preserve">inició en mayo 2020, justamente por la similitud de los procesos que se estarían enfrentando en la migración con el nuevo cambio de proveedor resultante del proceso licitatorio. </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Unido a esto, se consideró el informe de la auditoría que el propio ente contralor realizó a la UME durante el segundo semestre de 2020.</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 xml:space="preserve">“Era necesario, así como responsable, incorporar al cartel las lecciones aprendidas durante el proceso de mejora tecnológica que se implementó en el 2020. De lo contrario, habríamos incurrido en un divorcio entre lo inmediato –conocer el desempeño de la mejora tecnológica implementada– y lo venidero: la contratación de un nuevo proveedor que venga a suplir las oportunidades de mejora detectadas durante el proceso”, enfatizó la </w:t>
      </w:r>
      <w:proofErr w:type="gramStart"/>
      <w:r w:rsidRPr="00EB7AF2">
        <w:rPr>
          <w:rFonts w:ascii="Arial" w:hAnsi="Arial" w:cs="Arial"/>
          <w:sz w:val="24"/>
          <w:szCs w:val="24"/>
          <w:lang w:val="es-MX"/>
        </w:rPr>
        <w:t>Ministra</w:t>
      </w:r>
      <w:proofErr w:type="gramEnd"/>
      <w:r w:rsidRPr="00EB7AF2">
        <w:rPr>
          <w:rFonts w:ascii="Arial" w:hAnsi="Arial" w:cs="Arial"/>
          <w:sz w:val="24"/>
          <w:szCs w:val="24"/>
          <w:lang w:val="es-MX"/>
        </w:rPr>
        <w:t>.</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t xml:space="preserve">El Ministerio de Justicia y Paz está a la espera de que la CGR se pronuncie sobre la solicitud de autorización para hacer una extensión del contrato vigente (de acuerdo con el artículo 208 del Reglamento a la Ley de Contratación Administrativa) mientras se concluye el proceso de licitación para el nuevo contrato.  </w:t>
      </w:r>
    </w:p>
    <w:p w:rsidR="00EB7AF2" w:rsidRPr="00EB7AF2" w:rsidRDefault="00EB7AF2" w:rsidP="00EB7AF2">
      <w:pPr>
        <w:jc w:val="both"/>
        <w:rPr>
          <w:rFonts w:ascii="Arial" w:hAnsi="Arial" w:cs="Arial"/>
          <w:sz w:val="24"/>
          <w:szCs w:val="24"/>
          <w:lang w:val="es-MX"/>
        </w:rPr>
      </w:pPr>
      <w:r w:rsidRPr="00EB7AF2">
        <w:rPr>
          <w:rFonts w:ascii="Arial" w:hAnsi="Arial" w:cs="Arial"/>
          <w:sz w:val="24"/>
          <w:szCs w:val="24"/>
          <w:lang w:val="es-MX"/>
        </w:rPr>
        <w:t>Esta ampliación permitirá que las 1.800 personas sujetas a este mecanismo, puedan seguir siendo monitoreadas durante este período, garantizando así el cumplimiento de la Ley de Mecanismos Electrónicos de Seguimiento en Materia Penal (Ley 9271) y la seguridad de la ciudadanía costarricense, sin desestabilizar el servicio que se está brindando actualmente.</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t>En la actualidad, cada persona monitoreada representa un coste de  $12,5 por día, cifra muy inferior al de las personas que permanecen en centro penitenciarios cerrados (nivel institucional): $</w:t>
      </w:r>
      <w:r w:rsidR="000D5241">
        <w:rPr>
          <w:rFonts w:ascii="Arial" w:hAnsi="Arial" w:cs="Arial"/>
          <w:sz w:val="24"/>
          <w:szCs w:val="24"/>
          <w:lang w:val="es-MX"/>
        </w:rPr>
        <w:t>4</w:t>
      </w:r>
      <w:r w:rsidRPr="00EB7AF2">
        <w:rPr>
          <w:rFonts w:ascii="Arial" w:hAnsi="Arial" w:cs="Arial"/>
          <w:sz w:val="24"/>
          <w:szCs w:val="24"/>
          <w:lang w:val="es-MX"/>
        </w:rPr>
        <w:t>0 diarios.</w:t>
      </w:r>
    </w:p>
    <w:p w:rsidR="00EB7AF2" w:rsidRDefault="00EB7AF2" w:rsidP="00EB7AF2">
      <w:pPr>
        <w:jc w:val="both"/>
        <w:rPr>
          <w:rFonts w:ascii="Arial" w:hAnsi="Arial" w:cs="Arial"/>
          <w:sz w:val="24"/>
          <w:szCs w:val="24"/>
          <w:lang w:val="es-MX"/>
        </w:rPr>
      </w:pPr>
      <w:r w:rsidRPr="00EB7AF2">
        <w:rPr>
          <w:rFonts w:ascii="Arial" w:hAnsi="Arial" w:cs="Arial"/>
          <w:sz w:val="24"/>
          <w:szCs w:val="24"/>
          <w:lang w:val="es-MX"/>
        </w:rPr>
        <w:lastRenderedPageBreak/>
        <w:t xml:space="preserve"> A manera de ejemplo, 2.000 personas en monitoreo electrónico le costarían al país, al año, $9.000.</w:t>
      </w:r>
      <w:proofErr w:type="gramStart"/>
      <w:r w:rsidRPr="00EB7AF2">
        <w:rPr>
          <w:rFonts w:ascii="Arial" w:hAnsi="Arial" w:cs="Arial"/>
          <w:sz w:val="24"/>
          <w:szCs w:val="24"/>
          <w:lang w:val="es-MX"/>
        </w:rPr>
        <w:t>000  (</w:t>
      </w:r>
      <w:proofErr w:type="gramEnd"/>
      <w:r w:rsidRPr="00EB7AF2">
        <w:rPr>
          <w:rFonts w:ascii="Arial" w:hAnsi="Arial" w:cs="Arial"/>
          <w:sz w:val="24"/>
          <w:szCs w:val="24"/>
          <w:lang w:val="es-MX"/>
        </w:rPr>
        <w:t>al precio actual del servicio). Esa misma cantidad de personas en el nivel institucional representaría un gasto anual de $28.800.000.</w:t>
      </w:r>
    </w:p>
    <w:p w:rsidR="00BA4F92" w:rsidRPr="0032379B" w:rsidRDefault="00BA4F92" w:rsidP="00BA4F92">
      <w:pPr>
        <w:jc w:val="both"/>
        <w:rPr>
          <w:rFonts w:ascii="Arial" w:hAnsi="Arial" w:cs="Arial"/>
          <w:sz w:val="24"/>
          <w:szCs w:val="24"/>
          <w:lang w:val="es-MX"/>
        </w:rPr>
      </w:pPr>
    </w:p>
    <w:p w:rsidR="00071F9D" w:rsidRPr="00323411" w:rsidRDefault="00071F9D" w:rsidP="00071F9D">
      <w:pPr>
        <w:jc w:val="both"/>
        <w:rPr>
          <w:rFonts w:ascii="Arial" w:hAnsi="Arial" w:cs="Arial"/>
          <w:sz w:val="24"/>
          <w:szCs w:val="24"/>
          <w:lang w:val="es-MX"/>
        </w:rPr>
      </w:pPr>
      <w:r w:rsidRPr="007E6819">
        <w:rPr>
          <w:rFonts w:ascii="Microsoft Sans Serif" w:hAnsi="Microsoft Sans Serif" w:cs="Microsoft Sans Serif"/>
          <w:b/>
          <w:bCs/>
          <w:color w:val="000000"/>
          <w:sz w:val="18"/>
          <w:szCs w:val="18"/>
          <w:lang w:eastAsia="es-CR"/>
        </w:rPr>
        <w:t>OFICINA DE COMUNICACIÓN</w:t>
      </w:r>
    </w:p>
    <w:p w:rsidR="00071F9D" w:rsidRPr="007E6819" w:rsidRDefault="00071F9D" w:rsidP="00071F9D">
      <w:pPr>
        <w:spacing w:after="0"/>
        <w:rPr>
          <w:rFonts w:ascii="Microsoft Sans Serif" w:hAnsi="Microsoft Sans Serif" w:cs="Microsoft Sans Serif"/>
          <w:color w:val="000000"/>
          <w:sz w:val="20"/>
          <w:szCs w:val="20"/>
          <w:lang w:eastAsia="es-CR"/>
        </w:rPr>
      </w:pPr>
      <w:r w:rsidRPr="007E6819">
        <w:rPr>
          <w:rFonts w:ascii="Microsoft Sans Serif" w:hAnsi="Microsoft Sans Serif" w:cs="Microsoft Sans Serif"/>
          <w:color w:val="000000"/>
          <w:sz w:val="20"/>
          <w:szCs w:val="20"/>
          <w:lang w:eastAsia="es-CR"/>
        </w:rPr>
        <w:t>Ministerio de Justicia y Paz</w:t>
      </w:r>
    </w:p>
    <w:p w:rsidR="00071F9D" w:rsidRPr="007438A7" w:rsidRDefault="00071F9D" w:rsidP="00071F9D">
      <w:pPr>
        <w:spacing w:after="0"/>
        <w:rPr>
          <w:rFonts w:ascii="Microsoft Sans Serif" w:hAnsi="Microsoft Sans Serif" w:cs="Microsoft Sans Serif"/>
          <w:color w:val="000000"/>
          <w:sz w:val="20"/>
          <w:szCs w:val="20"/>
          <w:lang w:val="en-US" w:eastAsia="es-CR"/>
        </w:rPr>
      </w:pPr>
      <w:r w:rsidRPr="007438A7">
        <w:rPr>
          <w:rFonts w:ascii="Microsoft Sans Serif" w:hAnsi="Microsoft Sans Serif" w:cs="Microsoft Sans Serif"/>
          <w:color w:val="000000"/>
          <w:sz w:val="20"/>
          <w:szCs w:val="20"/>
          <w:lang w:val="en-US" w:eastAsia="es-CR"/>
        </w:rPr>
        <w:t xml:space="preserve">Tel: 2202-0715 | Email: </w:t>
      </w:r>
      <w:hyperlink r:id="rId8" w:history="1">
        <w:r w:rsidRPr="007438A7">
          <w:rPr>
            <w:rStyle w:val="Hipervnculo"/>
            <w:rFonts w:ascii="Microsoft Sans Serif" w:hAnsi="Microsoft Sans Serif" w:cs="Microsoft Sans Serif"/>
            <w:sz w:val="20"/>
            <w:szCs w:val="20"/>
            <w:lang w:val="en-US"/>
          </w:rPr>
          <w:t>comunicacion@mj.go.cr</w:t>
        </w:r>
      </w:hyperlink>
    </w:p>
    <w:p w:rsidR="00071F9D" w:rsidRPr="007E6819" w:rsidRDefault="000D5241" w:rsidP="00071F9D">
      <w:pPr>
        <w:spacing w:after="0"/>
        <w:rPr>
          <w:rFonts w:ascii="Microsoft Sans Serif" w:hAnsi="Microsoft Sans Serif" w:cs="Microsoft Sans Serif"/>
          <w:color w:val="000000"/>
          <w:sz w:val="20"/>
          <w:szCs w:val="20"/>
          <w:lang w:eastAsia="es-CR"/>
        </w:rPr>
      </w:pPr>
      <w:hyperlink r:id="rId9" w:history="1">
        <w:r w:rsidR="00071F9D">
          <w:rPr>
            <w:rFonts w:ascii="Microsoft Sans Serif" w:hAnsi="Microsoft Sans Serif" w:cs="Microsoft Sans Serif"/>
            <w:noProof/>
            <w:color w:val="0563C1"/>
            <w:sz w:val="20"/>
            <w:szCs w:val="20"/>
            <w:lang w:eastAsia="es-CR"/>
          </w:rPr>
          <w:drawing>
            <wp:inline distT="0" distB="0" distL="0" distR="0" wp14:anchorId="51964C4F" wp14:editId="0DFA498B">
              <wp:extent cx="182880" cy="182880"/>
              <wp:effectExtent l="0" t="0" r="7620" b="7620"/>
              <wp:docPr id="3" name="Imagen 3" descr="cid:image003.png@01D40DF4.C9F9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40DF4.C9F9CE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071F9D" w:rsidRPr="007E6819">
          <w:rPr>
            <w:rStyle w:val="Hipervnculo"/>
            <w:rFonts w:ascii="Microsoft Sans Serif" w:hAnsi="Microsoft Sans Serif" w:cs="Microsoft Sans Serif"/>
            <w:sz w:val="20"/>
            <w:szCs w:val="20"/>
          </w:rPr>
          <w:t>   Ministerio de Justicia y Paz</w:t>
        </w:r>
      </w:hyperlink>
    </w:p>
    <w:p w:rsidR="00071F9D" w:rsidRPr="007E6819" w:rsidRDefault="000D5241" w:rsidP="00071F9D">
      <w:pPr>
        <w:spacing w:after="0"/>
        <w:rPr>
          <w:rFonts w:ascii="Microsoft Sans Serif" w:hAnsi="Microsoft Sans Serif" w:cs="Microsoft Sans Serif"/>
          <w:color w:val="000000"/>
          <w:sz w:val="20"/>
          <w:szCs w:val="20"/>
          <w:lang w:eastAsia="es-CR"/>
        </w:rPr>
      </w:pPr>
      <w:hyperlink r:id="rId12" w:history="1">
        <w:r w:rsidR="00071F9D">
          <w:rPr>
            <w:noProof/>
            <w:color w:val="0563C1"/>
            <w:lang w:eastAsia="es-CR"/>
          </w:rPr>
          <w:drawing>
            <wp:inline distT="0" distB="0" distL="0" distR="0" wp14:anchorId="55E420FA" wp14:editId="2BD1FB9A">
              <wp:extent cx="204470" cy="172085"/>
              <wp:effectExtent l="0" t="0" r="5080" b="0"/>
              <wp:docPr id="4" name="Imagen 4" descr="cid:image004.png@01D40DF4.C9F9C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40DF4.C9F9CE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4470" cy="172085"/>
                      </a:xfrm>
                      <a:prstGeom prst="rect">
                        <a:avLst/>
                      </a:prstGeom>
                      <a:noFill/>
                      <a:ln>
                        <a:noFill/>
                      </a:ln>
                    </pic:spPr>
                  </pic:pic>
                </a:graphicData>
              </a:graphic>
            </wp:inline>
          </w:drawing>
        </w:r>
        <w:r w:rsidR="00071F9D" w:rsidRPr="007E6819">
          <w:rPr>
            <w:rStyle w:val="Hipervnculo"/>
          </w:rPr>
          <w:t> </w:t>
        </w:r>
        <w:r w:rsidR="00071F9D" w:rsidRPr="007E6819">
          <w:rPr>
            <w:rStyle w:val="Hipervnculo"/>
            <w:rFonts w:ascii="Microsoft Sans Serif" w:hAnsi="Microsoft Sans Serif" w:cs="Microsoft Sans Serif"/>
            <w:sz w:val="20"/>
            <w:szCs w:val="20"/>
          </w:rPr>
          <w:t>@justiciaypazcr</w:t>
        </w:r>
      </w:hyperlink>
      <w:r w:rsidR="00071F9D" w:rsidRPr="007E6819">
        <w:rPr>
          <w:rFonts w:ascii="Microsoft Sans Serif" w:hAnsi="Microsoft Sans Serif" w:cs="Microsoft Sans Serif"/>
          <w:color w:val="000000"/>
          <w:sz w:val="20"/>
          <w:szCs w:val="20"/>
          <w:lang w:eastAsia="es-CR"/>
        </w:rPr>
        <w:t xml:space="preserve"> </w:t>
      </w:r>
    </w:p>
    <w:p w:rsidR="007A4825" w:rsidRPr="00C03945" w:rsidRDefault="000D5241" w:rsidP="00C03945">
      <w:pPr>
        <w:spacing w:after="0"/>
        <w:rPr>
          <w:rFonts w:ascii="Microsoft Sans Serif" w:hAnsi="Microsoft Sans Serif" w:cs="Microsoft Sans Serif"/>
          <w:color w:val="000000"/>
          <w:sz w:val="20"/>
          <w:szCs w:val="20"/>
          <w:lang w:eastAsia="es-CR"/>
        </w:rPr>
      </w:pPr>
      <w:hyperlink r:id="rId15" w:history="1">
        <w:r w:rsidR="00071F9D">
          <w:rPr>
            <w:rStyle w:val="Hipervnculo"/>
            <w:rFonts w:ascii="Microsoft Sans Serif" w:hAnsi="Microsoft Sans Serif" w:cs="Microsoft Sans Serif"/>
            <w:sz w:val="20"/>
            <w:szCs w:val="20"/>
          </w:rPr>
          <w:t>www.mjp.go.cr</w:t>
        </w:r>
      </w:hyperlink>
      <w:r w:rsidR="00071F9D">
        <w:rPr>
          <w:rFonts w:ascii="Microsoft Sans Serif" w:hAnsi="Microsoft Sans Serif" w:cs="Microsoft Sans Serif"/>
          <w:color w:val="000000"/>
          <w:sz w:val="20"/>
          <w:szCs w:val="20"/>
          <w:lang w:eastAsia="es-CR"/>
        </w:rPr>
        <w:t xml:space="preserve"> </w:t>
      </w:r>
    </w:p>
    <w:sectPr w:rsidR="007A4825" w:rsidRPr="00C03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B7"/>
    <w:multiLevelType w:val="hybridMultilevel"/>
    <w:tmpl w:val="37FA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5B37"/>
    <w:multiLevelType w:val="hybridMultilevel"/>
    <w:tmpl w:val="AAD40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C091A"/>
    <w:multiLevelType w:val="multilevel"/>
    <w:tmpl w:val="D04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D1D0B"/>
    <w:multiLevelType w:val="hybridMultilevel"/>
    <w:tmpl w:val="A7EA28F0"/>
    <w:lvl w:ilvl="0" w:tplc="CAB64F0C">
      <w:start w:val="1"/>
      <w:numFmt w:val="bullet"/>
      <w:lvlText w:val="•"/>
      <w:lvlJc w:val="left"/>
      <w:pPr>
        <w:tabs>
          <w:tab w:val="num" w:pos="720"/>
        </w:tabs>
        <w:ind w:left="720" w:hanging="360"/>
      </w:pPr>
      <w:rPr>
        <w:rFonts w:ascii="Arial" w:hAnsi="Arial" w:hint="default"/>
      </w:rPr>
    </w:lvl>
    <w:lvl w:ilvl="1" w:tplc="FA286F96" w:tentative="1">
      <w:start w:val="1"/>
      <w:numFmt w:val="bullet"/>
      <w:lvlText w:val="•"/>
      <w:lvlJc w:val="left"/>
      <w:pPr>
        <w:tabs>
          <w:tab w:val="num" w:pos="1440"/>
        </w:tabs>
        <w:ind w:left="1440" w:hanging="360"/>
      </w:pPr>
      <w:rPr>
        <w:rFonts w:ascii="Arial" w:hAnsi="Arial" w:hint="default"/>
      </w:rPr>
    </w:lvl>
    <w:lvl w:ilvl="2" w:tplc="42E25E38" w:tentative="1">
      <w:start w:val="1"/>
      <w:numFmt w:val="bullet"/>
      <w:lvlText w:val="•"/>
      <w:lvlJc w:val="left"/>
      <w:pPr>
        <w:tabs>
          <w:tab w:val="num" w:pos="2160"/>
        </w:tabs>
        <w:ind w:left="2160" w:hanging="360"/>
      </w:pPr>
      <w:rPr>
        <w:rFonts w:ascii="Arial" w:hAnsi="Arial" w:hint="default"/>
      </w:rPr>
    </w:lvl>
    <w:lvl w:ilvl="3" w:tplc="E8B2AC48" w:tentative="1">
      <w:start w:val="1"/>
      <w:numFmt w:val="bullet"/>
      <w:lvlText w:val="•"/>
      <w:lvlJc w:val="left"/>
      <w:pPr>
        <w:tabs>
          <w:tab w:val="num" w:pos="2880"/>
        </w:tabs>
        <w:ind w:left="2880" w:hanging="360"/>
      </w:pPr>
      <w:rPr>
        <w:rFonts w:ascii="Arial" w:hAnsi="Arial" w:hint="default"/>
      </w:rPr>
    </w:lvl>
    <w:lvl w:ilvl="4" w:tplc="D248BD80" w:tentative="1">
      <w:start w:val="1"/>
      <w:numFmt w:val="bullet"/>
      <w:lvlText w:val="•"/>
      <w:lvlJc w:val="left"/>
      <w:pPr>
        <w:tabs>
          <w:tab w:val="num" w:pos="3600"/>
        </w:tabs>
        <w:ind w:left="3600" w:hanging="360"/>
      </w:pPr>
      <w:rPr>
        <w:rFonts w:ascii="Arial" w:hAnsi="Arial" w:hint="default"/>
      </w:rPr>
    </w:lvl>
    <w:lvl w:ilvl="5" w:tplc="8744B28C" w:tentative="1">
      <w:start w:val="1"/>
      <w:numFmt w:val="bullet"/>
      <w:lvlText w:val="•"/>
      <w:lvlJc w:val="left"/>
      <w:pPr>
        <w:tabs>
          <w:tab w:val="num" w:pos="4320"/>
        </w:tabs>
        <w:ind w:left="4320" w:hanging="360"/>
      </w:pPr>
      <w:rPr>
        <w:rFonts w:ascii="Arial" w:hAnsi="Arial" w:hint="default"/>
      </w:rPr>
    </w:lvl>
    <w:lvl w:ilvl="6" w:tplc="4C9A14B6" w:tentative="1">
      <w:start w:val="1"/>
      <w:numFmt w:val="bullet"/>
      <w:lvlText w:val="•"/>
      <w:lvlJc w:val="left"/>
      <w:pPr>
        <w:tabs>
          <w:tab w:val="num" w:pos="5040"/>
        </w:tabs>
        <w:ind w:left="5040" w:hanging="360"/>
      </w:pPr>
      <w:rPr>
        <w:rFonts w:ascii="Arial" w:hAnsi="Arial" w:hint="default"/>
      </w:rPr>
    </w:lvl>
    <w:lvl w:ilvl="7" w:tplc="D242D43A" w:tentative="1">
      <w:start w:val="1"/>
      <w:numFmt w:val="bullet"/>
      <w:lvlText w:val="•"/>
      <w:lvlJc w:val="left"/>
      <w:pPr>
        <w:tabs>
          <w:tab w:val="num" w:pos="5760"/>
        </w:tabs>
        <w:ind w:left="5760" w:hanging="360"/>
      </w:pPr>
      <w:rPr>
        <w:rFonts w:ascii="Arial" w:hAnsi="Arial" w:hint="default"/>
      </w:rPr>
    </w:lvl>
    <w:lvl w:ilvl="8" w:tplc="5F8850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214C9"/>
    <w:multiLevelType w:val="hybridMultilevel"/>
    <w:tmpl w:val="0DAE13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FD423B2"/>
    <w:multiLevelType w:val="hybridMultilevel"/>
    <w:tmpl w:val="1DC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12ADA"/>
    <w:multiLevelType w:val="hybridMultilevel"/>
    <w:tmpl w:val="691816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5652909"/>
    <w:multiLevelType w:val="hybridMultilevel"/>
    <w:tmpl w:val="2C7CE18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37585D10"/>
    <w:multiLevelType w:val="hybridMultilevel"/>
    <w:tmpl w:val="E17A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503B8"/>
    <w:multiLevelType w:val="hybridMultilevel"/>
    <w:tmpl w:val="9080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0659"/>
    <w:multiLevelType w:val="hybridMultilevel"/>
    <w:tmpl w:val="77F43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C682E"/>
    <w:multiLevelType w:val="hybridMultilevel"/>
    <w:tmpl w:val="F7C4D2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0E6F84"/>
    <w:multiLevelType w:val="hybridMultilevel"/>
    <w:tmpl w:val="DD6E7FD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3" w15:restartNumberingAfterBreak="0">
    <w:nsid w:val="51A5784A"/>
    <w:multiLevelType w:val="hybridMultilevel"/>
    <w:tmpl w:val="5FAE1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6DD"/>
    <w:multiLevelType w:val="hybridMultilevel"/>
    <w:tmpl w:val="53DA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439D2"/>
    <w:multiLevelType w:val="hybridMultilevel"/>
    <w:tmpl w:val="D758EB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4DD31B9"/>
    <w:multiLevelType w:val="hybridMultilevel"/>
    <w:tmpl w:val="8D6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C15F5"/>
    <w:multiLevelType w:val="hybridMultilevel"/>
    <w:tmpl w:val="9C32C23E"/>
    <w:lvl w:ilvl="0" w:tplc="4564A14C">
      <w:start w:val="1"/>
      <w:numFmt w:val="upperRoman"/>
      <w:lvlText w:val="%1."/>
      <w:lvlJc w:val="left"/>
      <w:pPr>
        <w:ind w:left="1080" w:hanging="720"/>
      </w:pPr>
      <w:rPr>
        <w:rFonts w:ascii="Arial" w:eastAsia="Calibri" w:hAnsi="Arial" w:cs="Arial" w:hint="default"/>
        <w:b w:val="0"/>
        <w:i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15"/>
  </w:num>
  <w:num w:numId="2">
    <w:abstractNumId w:val="6"/>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2"/>
  </w:num>
  <w:num w:numId="9">
    <w:abstractNumId w:val="16"/>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0"/>
  </w:num>
  <w:num w:numId="15">
    <w:abstractNumId w:val="12"/>
  </w:num>
  <w:num w:numId="16">
    <w:abstractNumId w:val="9"/>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60A"/>
    <w:rsid w:val="00006A09"/>
    <w:rsid w:val="00007A4D"/>
    <w:rsid w:val="000107CD"/>
    <w:rsid w:val="00016ADF"/>
    <w:rsid w:val="0003256D"/>
    <w:rsid w:val="0004146F"/>
    <w:rsid w:val="000541B6"/>
    <w:rsid w:val="00066358"/>
    <w:rsid w:val="00071F9D"/>
    <w:rsid w:val="00096A7F"/>
    <w:rsid w:val="00097158"/>
    <w:rsid w:val="000A6567"/>
    <w:rsid w:val="000A696D"/>
    <w:rsid w:val="000B6EB7"/>
    <w:rsid w:val="000C25E6"/>
    <w:rsid w:val="000D5241"/>
    <w:rsid w:val="000D7D2A"/>
    <w:rsid w:val="000F738F"/>
    <w:rsid w:val="00100A14"/>
    <w:rsid w:val="001026DC"/>
    <w:rsid w:val="0010706F"/>
    <w:rsid w:val="00112ECF"/>
    <w:rsid w:val="001165AA"/>
    <w:rsid w:val="00124B4D"/>
    <w:rsid w:val="001250E1"/>
    <w:rsid w:val="001265DA"/>
    <w:rsid w:val="001278DE"/>
    <w:rsid w:val="0013397E"/>
    <w:rsid w:val="001433D2"/>
    <w:rsid w:val="00151648"/>
    <w:rsid w:val="00161C8D"/>
    <w:rsid w:val="0017520C"/>
    <w:rsid w:val="00182C73"/>
    <w:rsid w:val="001A3736"/>
    <w:rsid w:val="001A585C"/>
    <w:rsid w:val="001B378A"/>
    <w:rsid w:val="001B56B3"/>
    <w:rsid w:val="001E033E"/>
    <w:rsid w:val="001E60EA"/>
    <w:rsid w:val="001F3712"/>
    <w:rsid w:val="00201FDB"/>
    <w:rsid w:val="00207595"/>
    <w:rsid w:val="00210C9B"/>
    <w:rsid w:val="002179E8"/>
    <w:rsid w:val="00217ABE"/>
    <w:rsid w:val="00233F89"/>
    <w:rsid w:val="00240020"/>
    <w:rsid w:val="0024369A"/>
    <w:rsid w:val="0024798D"/>
    <w:rsid w:val="00250C84"/>
    <w:rsid w:val="00250DEE"/>
    <w:rsid w:val="00256FD4"/>
    <w:rsid w:val="00257BD9"/>
    <w:rsid w:val="0027141F"/>
    <w:rsid w:val="00272331"/>
    <w:rsid w:val="00275945"/>
    <w:rsid w:val="002762F4"/>
    <w:rsid w:val="00292BC8"/>
    <w:rsid w:val="002A79E8"/>
    <w:rsid w:val="002B154C"/>
    <w:rsid w:val="002B1D55"/>
    <w:rsid w:val="002B3DF0"/>
    <w:rsid w:val="002B5D2A"/>
    <w:rsid w:val="002C5238"/>
    <w:rsid w:val="002C5269"/>
    <w:rsid w:val="002C7D3B"/>
    <w:rsid w:val="002F08F6"/>
    <w:rsid w:val="002F6C05"/>
    <w:rsid w:val="00302E5E"/>
    <w:rsid w:val="003179BF"/>
    <w:rsid w:val="00323411"/>
    <w:rsid w:val="0032379B"/>
    <w:rsid w:val="003325FD"/>
    <w:rsid w:val="0033669B"/>
    <w:rsid w:val="00345FA1"/>
    <w:rsid w:val="00350244"/>
    <w:rsid w:val="00352A6C"/>
    <w:rsid w:val="00362BCB"/>
    <w:rsid w:val="00374F8E"/>
    <w:rsid w:val="003B6C99"/>
    <w:rsid w:val="003C2E35"/>
    <w:rsid w:val="003C4C02"/>
    <w:rsid w:val="003D4A44"/>
    <w:rsid w:val="003D52C9"/>
    <w:rsid w:val="003D7D0A"/>
    <w:rsid w:val="003E2CA6"/>
    <w:rsid w:val="003F532D"/>
    <w:rsid w:val="003F7F76"/>
    <w:rsid w:val="00401C44"/>
    <w:rsid w:val="00413742"/>
    <w:rsid w:val="004309E6"/>
    <w:rsid w:val="00431928"/>
    <w:rsid w:val="004439C8"/>
    <w:rsid w:val="00456BD6"/>
    <w:rsid w:val="004608DC"/>
    <w:rsid w:val="00462954"/>
    <w:rsid w:val="00466AA6"/>
    <w:rsid w:val="00471EF8"/>
    <w:rsid w:val="00472B48"/>
    <w:rsid w:val="00476EBC"/>
    <w:rsid w:val="0047740F"/>
    <w:rsid w:val="00480A1F"/>
    <w:rsid w:val="00484193"/>
    <w:rsid w:val="0048745F"/>
    <w:rsid w:val="004911DA"/>
    <w:rsid w:val="004C320A"/>
    <w:rsid w:val="004C39D5"/>
    <w:rsid w:val="004D2ACF"/>
    <w:rsid w:val="004E41E6"/>
    <w:rsid w:val="004E65C4"/>
    <w:rsid w:val="004F1DA6"/>
    <w:rsid w:val="00502B2A"/>
    <w:rsid w:val="00514C62"/>
    <w:rsid w:val="00520952"/>
    <w:rsid w:val="00520D21"/>
    <w:rsid w:val="0052622F"/>
    <w:rsid w:val="005408D2"/>
    <w:rsid w:val="0054249C"/>
    <w:rsid w:val="0055066C"/>
    <w:rsid w:val="00557FB0"/>
    <w:rsid w:val="00577EE1"/>
    <w:rsid w:val="00585DE5"/>
    <w:rsid w:val="00594270"/>
    <w:rsid w:val="00594FFA"/>
    <w:rsid w:val="0059556A"/>
    <w:rsid w:val="0059602B"/>
    <w:rsid w:val="00596174"/>
    <w:rsid w:val="005977CB"/>
    <w:rsid w:val="005C12AA"/>
    <w:rsid w:val="005E1818"/>
    <w:rsid w:val="005E26AE"/>
    <w:rsid w:val="005E39D4"/>
    <w:rsid w:val="005E47E5"/>
    <w:rsid w:val="005E5C18"/>
    <w:rsid w:val="005F67D6"/>
    <w:rsid w:val="0060593C"/>
    <w:rsid w:val="00615A4B"/>
    <w:rsid w:val="00621A8F"/>
    <w:rsid w:val="006274E7"/>
    <w:rsid w:val="00663207"/>
    <w:rsid w:val="00683453"/>
    <w:rsid w:val="00686C6A"/>
    <w:rsid w:val="00687067"/>
    <w:rsid w:val="006A00DA"/>
    <w:rsid w:val="006A3207"/>
    <w:rsid w:val="006B42BA"/>
    <w:rsid w:val="006B5E01"/>
    <w:rsid w:val="006B7BFC"/>
    <w:rsid w:val="006C3ABA"/>
    <w:rsid w:val="006C48A2"/>
    <w:rsid w:val="006C5DB5"/>
    <w:rsid w:val="006C7524"/>
    <w:rsid w:val="006D2A42"/>
    <w:rsid w:val="006E041A"/>
    <w:rsid w:val="006E15EC"/>
    <w:rsid w:val="006F0837"/>
    <w:rsid w:val="00710E18"/>
    <w:rsid w:val="00733EE9"/>
    <w:rsid w:val="007438A7"/>
    <w:rsid w:val="00743B5B"/>
    <w:rsid w:val="0075111E"/>
    <w:rsid w:val="00754356"/>
    <w:rsid w:val="007869AD"/>
    <w:rsid w:val="00787E7F"/>
    <w:rsid w:val="00792AD7"/>
    <w:rsid w:val="007A1248"/>
    <w:rsid w:val="007A421B"/>
    <w:rsid w:val="007A4825"/>
    <w:rsid w:val="007A5D3B"/>
    <w:rsid w:val="007E065B"/>
    <w:rsid w:val="007E5A8F"/>
    <w:rsid w:val="007E7200"/>
    <w:rsid w:val="007E7962"/>
    <w:rsid w:val="007F4685"/>
    <w:rsid w:val="007F7161"/>
    <w:rsid w:val="00804174"/>
    <w:rsid w:val="008156E5"/>
    <w:rsid w:val="00834B75"/>
    <w:rsid w:val="0085527E"/>
    <w:rsid w:val="0086548B"/>
    <w:rsid w:val="008672DF"/>
    <w:rsid w:val="00873D75"/>
    <w:rsid w:val="00893C63"/>
    <w:rsid w:val="008A7406"/>
    <w:rsid w:val="008B3498"/>
    <w:rsid w:val="008D2C9E"/>
    <w:rsid w:val="008D5A9F"/>
    <w:rsid w:val="008F6EE0"/>
    <w:rsid w:val="009034FD"/>
    <w:rsid w:val="009053F9"/>
    <w:rsid w:val="00911FB3"/>
    <w:rsid w:val="0091297C"/>
    <w:rsid w:val="009140DF"/>
    <w:rsid w:val="00915843"/>
    <w:rsid w:val="00926AEF"/>
    <w:rsid w:val="00932992"/>
    <w:rsid w:val="009418BC"/>
    <w:rsid w:val="00951AA2"/>
    <w:rsid w:val="009639D8"/>
    <w:rsid w:val="0097077A"/>
    <w:rsid w:val="00993C7E"/>
    <w:rsid w:val="00995510"/>
    <w:rsid w:val="009B0125"/>
    <w:rsid w:val="009B0605"/>
    <w:rsid w:val="009B2431"/>
    <w:rsid w:val="009C1B41"/>
    <w:rsid w:val="009D152C"/>
    <w:rsid w:val="009F0306"/>
    <w:rsid w:val="00A05402"/>
    <w:rsid w:val="00A06999"/>
    <w:rsid w:val="00A271FD"/>
    <w:rsid w:val="00A31342"/>
    <w:rsid w:val="00A37815"/>
    <w:rsid w:val="00A4154C"/>
    <w:rsid w:val="00A46E36"/>
    <w:rsid w:val="00A51B1D"/>
    <w:rsid w:val="00A67DCE"/>
    <w:rsid w:val="00A710EA"/>
    <w:rsid w:val="00A72F84"/>
    <w:rsid w:val="00A73858"/>
    <w:rsid w:val="00A747E3"/>
    <w:rsid w:val="00A7612F"/>
    <w:rsid w:val="00A77FEA"/>
    <w:rsid w:val="00A813C5"/>
    <w:rsid w:val="00A90904"/>
    <w:rsid w:val="00A946BD"/>
    <w:rsid w:val="00AA3A48"/>
    <w:rsid w:val="00AA3DAF"/>
    <w:rsid w:val="00AA4277"/>
    <w:rsid w:val="00AA69FB"/>
    <w:rsid w:val="00AB25A7"/>
    <w:rsid w:val="00AB4665"/>
    <w:rsid w:val="00AB624B"/>
    <w:rsid w:val="00AD0273"/>
    <w:rsid w:val="00AD7B95"/>
    <w:rsid w:val="00AF4B71"/>
    <w:rsid w:val="00AF778B"/>
    <w:rsid w:val="00B019D9"/>
    <w:rsid w:val="00B0756F"/>
    <w:rsid w:val="00B12983"/>
    <w:rsid w:val="00B146B5"/>
    <w:rsid w:val="00B1548C"/>
    <w:rsid w:val="00B40A95"/>
    <w:rsid w:val="00B54728"/>
    <w:rsid w:val="00B602A1"/>
    <w:rsid w:val="00B8260A"/>
    <w:rsid w:val="00BA4F92"/>
    <w:rsid w:val="00BA6FE5"/>
    <w:rsid w:val="00BB37E1"/>
    <w:rsid w:val="00BB4601"/>
    <w:rsid w:val="00BE0EB5"/>
    <w:rsid w:val="00BE1EE0"/>
    <w:rsid w:val="00C02B17"/>
    <w:rsid w:val="00C03945"/>
    <w:rsid w:val="00C123FE"/>
    <w:rsid w:val="00C13D24"/>
    <w:rsid w:val="00C1510B"/>
    <w:rsid w:val="00C27F50"/>
    <w:rsid w:val="00C44E8C"/>
    <w:rsid w:val="00C614CF"/>
    <w:rsid w:val="00C665B6"/>
    <w:rsid w:val="00C73F53"/>
    <w:rsid w:val="00C7584C"/>
    <w:rsid w:val="00C90F2E"/>
    <w:rsid w:val="00CA6316"/>
    <w:rsid w:val="00CA6534"/>
    <w:rsid w:val="00CB1A0D"/>
    <w:rsid w:val="00CC380F"/>
    <w:rsid w:val="00CD06AE"/>
    <w:rsid w:val="00CD19AB"/>
    <w:rsid w:val="00CD3CD9"/>
    <w:rsid w:val="00D070F7"/>
    <w:rsid w:val="00D124DF"/>
    <w:rsid w:val="00D13E2D"/>
    <w:rsid w:val="00D149A8"/>
    <w:rsid w:val="00D24D5A"/>
    <w:rsid w:val="00D3793D"/>
    <w:rsid w:val="00D540EF"/>
    <w:rsid w:val="00D55B74"/>
    <w:rsid w:val="00D73285"/>
    <w:rsid w:val="00D8665C"/>
    <w:rsid w:val="00D91EA4"/>
    <w:rsid w:val="00DA1D24"/>
    <w:rsid w:val="00DA1F1E"/>
    <w:rsid w:val="00DA46F3"/>
    <w:rsid w:val="00DC0EA4"/>
    <w:rsid w:val="00DC134F"/>
    <w:rsid w:val="00DD0666"/>
    <w:rsid w:val="00DD0E9F"/>
    <w:rsid w:val="00DD31B2"/>
    <w:rsid w:val="00DF5728"/>
    <w:rsid w:val="00E05843"/>
    <w:rsid w:val="00E15C19"/>
    <w:rsid w:val="00E22CB9"/>
    <w:rsid w:val="00E314E7"/>
    <w:rsid w:val="00E3702B"/>
    <w:rsid w:val="00E5663E"/>
    <w:rsid w:val="00E604E1"/>
    <w:rsid w:val="00E62072"/>
    <w:rsid w:val="00E66D3F"/>
    <w:rsid w:val="00E73DAF"/>
    <w:rsid w:val="00E863E3"/>
    <w:rsid w:val="00E86A17"/>
    <w:rsid w:val="00E965E9"/>
    <w:rsid w:val="00EA0259"/>
    <w:rsid w:val="00EA080B"/>
    <w:rsid w:val="00EA30BE"/>
    <w:rsid w:val="00EB55B7"/>
    <w:rsid w:val="00EB7AF2"/>
    <w:rsid w:val="00ED0684"/>
    <w:rsid w:val="00ED400F"/>
    <w:rsid w:val="00ED6BD0"/>
    <w:rsid w:val="00EE062F"/>
    <w:rsid w:val="00EE1287"/>
    <w:rsid w:val="00EF0DEA"/>
    <w:rsid w:val="00EF13E7"/>
    <w:rsid w:val="00EF691A"/>
    <w:rsid w:val="00F01DD9"/>
    <w:rsid w:val="00F13966"/>
    <w:rsid w:val="00F21462"/>
    <w:rsid w:val="00F22E2A"/>
    <w:rsid w:val="00F366D4"/>
    <w:rsid w:val="00F3775F"/>
    <w:rsid w:val="00F378A5"/>
    <w:rsid w:val="00F43287"/>
    <w:rsid w:val="00F52183"/>
    <w:rsid w:val="00F615F8"/>
    <w:rsid w:val="00F71ADE"/>
    <w:rsid w:val="00FA5A79"/>
    <w:rsid w:val="00FA6168"/>
    <w:rsid w:val="00FA6D7E"/>
    <w:rsid w:val="00FB0C34"/>
    <w:rsid w:val="00FB397F"/>
    <w:rsid w:val="00FB7065"/>
    <w:rsid w:val="00FC56B3"/>
    <w:rsid w:val="00FD52C0"/>
    <w:rsid w:val="00FE0728"/>
    <w:rsid w:val="00FE462F"/>
    <w:rsid w:val="00FE5C88"/>
    <w:rsid w:val="00FF0AF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7D0B"/>
  <w15:chartTrackingRefBased/>
  <w15:docId w15:val="{33CA88F2-21E2-4EFE-B331-9FCB6A33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0A"/>
  </w:style>
  <w:style w:type="paragraph" w:styleId="Ttulo1">
    <w:name w:val="heading 1"/>
    <w:basedOn w:val="Normal"/>
    <w:link w:val="Ttulo1Car"/>
    <w:uiPriority w:val="9"/>
    <w:qFormat/>
    <w:rsid w:val="00F71AD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8260A"/>
    <w:rPr>
      <w:color w:val="0000FF"/>
      <w:u w:val="single"/>
    </w:rPr>
  </w:style>
  <w:style w:type="paragraph" w:styleId="Prrafodelista">
    <w:name w:val="List Paragraph"/>
    <w:basedOn w:val="Normal"/>
    <w:uiPriority w:val="34"/>
    <w:qFormat/>
    <w:rsid w:val="00B8260A"/>
    <w:pPr>
      <w:ind w:left="720"/>
      <w:contextualSpacing/>
    </w:pPr>
  </w:style>
  <w:style w:type="paragraph" w:styleId="NormalWeb">
    <w:name w:val="Normal (Web)"/>
    <w:basedOn w:val="Normal"/>
    <w:uiPriority w:val="99"/>
    <w:semiHidden/>
    <w:unhideWhenUsed/>
    <w:rsid w:val="006C48A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A710EA"/>
    <w:rPr>
      <w:b/>
      <w:bCs/>
    </w:rPr>
  </w:style>
  <w:style w:type="paragraph" w:styleId="Textodeglobo">
    <w:name w:val="Balloon Text"/>
    <w:basedOn w:val="Normal"/>
    <w:link w:val="TextodegloboCar"/>
    <w:uiPriority w:val="99"/>
    <w:semiHidden/>
    <w:unhideWhenUsed/>
    <w:rsid w:val="003179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9BF"/>
    <w:rPr>
      <w:rFonts w:ascii="Segoe UI" w:hAnsi="Segoe UI" w:cs="Segoe UI"/>
      <w:sz w:val="18"/>
      <w:szCs w:val="18"/>
    </w:rPr>
  </w:style>
  <w:style w:type="table" w:styleId="Tablaconcuadrcula">
    <w:name w:val="Table Grid"/>
    <w:basedOn w:val="Tablanormal"/>
    <w:uiPriority w:val="39"/>
    <w:rsid w:val="00B1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1ADE"/>
    <w:rPr>
      <w:rFonts w:ascii="Times New Roman" w:eastAsia="Times New Roman" w:hAnsi="Times New Roman" w:cs="Times New Roman"/>
      <w:b/>
      <w:bCs/>
      <w:kern w:val="36"/>
      <w:sz w:val="48"/>
      <w:szCs w:val="48"/>
      <w:lang w:val="en-US"/>
    </w:rPr>
  </w:style>
  <w:style w:type="paragraph" w:customStyle="1" w:styleId="pressreleasetext">
    <w:name w:val="pressreleasetext"/>
    <w:basedOn w:val="Normal"/>
    <w:rsid w:val="006059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97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97077A"/>
    <w:rPr>
      <w:rFonts w:ascii="Courier New" w:eastAsia="Times New Roman" w:hAnsi="Courier New" w:cs="Courier New"/>
      <w:sz w:val="20"/>
      <w:szCs w:val="20"/>
      <w:lang w:val="en-US"/>
    </w:rPr>
  </w:style>
  <w:style w:type="character" w:styleId="Mencinsinresolver">
    <w:name w:val="Unresolved Mention"/>
    <w:basedOn w:val="Fuentedeprrafopredeter"/>
    <w:uiPriority w:val="99"/>
    <w:semiHidden/>
    <w:unhideWhenUsed/>
    <w:rsid w:val="0085527E"/>
    <w:rPr>
      <w:color w:val="605E5C"/>
      <w:shd w:val="clear" w:color="auto" w:fill="E1DFDD"/>
    </w:rPr>
  </w:style>
  <w:style w:type="paragraph" w:customStyle="1" w:styleId="Direccininterior">
    <w:name w:val="Dirección interior"/>
    <w:basedOn w:val="Normal"/>
    <w:rsid w:val="00D3793D"/>
    <w:pPr>
      <w:spacing w:after="0" w:line="220" w:lineRule="atLeast"/>
      <w:jc w:val="both"/>
    </w:pPr>
    <w:rPr>
      <w:rFonts w:ascii="Arial" w:eastAsia="Times New Roman" w:hAnsi="Arial"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6468">
      <w:bodyDiv w:val="1"/>
      <w:marLeft w:val="0"/>
      <w:marRight w:val="0"/>
      <w:marTop w:val="0"/>
      <w:marBottom w:val="0"/>
      <w:divBdr>
        <w:top w:val="none" w:sz="0" w:space="0" w:color="auto"/>
        <w:left w:val="none" w:sz="0" w:space="0" w:color="auto"/>
        <w:bottom w:val="none" w:sz="0" w:space="0" w:color="auto"/>
        <w:right w:val="none" w:sz="0" w:space="0" w:color="auto"/>
      </w:divBdr>
    </w:div>
    <w:div w:id="687684415">
      <w:bodyDiv w:val="1"/>
      <w:marLeft w:val="0"/>
      <w:marRight w:val="0"/>
      <w:marTop w:val="0"/>
      <w:marBottom w:val="0"/>
      <w:divBdr>
        <w:top w:val="none" w:sz="0" w:space="0" w:color="auto"/>
        <w:left w:val="none" w:sz="0" w:space="0" w:color="auto"/>
        <w:bottom w:val="none" w:sz="0" w:space="0" w:color="auto"/>
        <w:right w:val="none" w:sz="0" w:space="0" w:color="auto"/>
      </w:divBdr>
    </w:div>
    <w:div w:id="815226667">
      <w:bodyDiv w:val="1"/>
      <w:marLeft w:val="0"/>
      <w:marRight w:val="0"/>
      <w:marTop w:val="0"/>
      <w:marBottom w:val="0"/>
      <w:divBdr>
        <w:top w:val="none" w:sz="0" w:space="0" w:color="auto"/>
        <w:left w:val="none" w:sz="0" w:space="0" w:color="auto"/>
        <w:bottom w:val="none" w:sz="0" w:space="0" w:color="auto"/>
        <w:right w:val="none" w:sz="0" w:space="0" w:color="auto"/>
      </w:divBdr>
    </w:div>
    <w:div w:id="921647513">
      <w:bodyDiv w:val="1"/>
      <w:marLeft w:val="0"/>
      <w:marRight w:val="0"/>
      <w:marTop w:val="0"/>
      <w:marBottom w:val="0"/>
      <w:divBdr>
        <w:top w:val="none" w:sz="0" w:space="0" w:color="auto"/>
        <w:left w:val="none" w:sz="0" w:space="0" w:color="auto"/>
        <w:bottom w:val="none" w:sz="0" w:space="0" w:color="auto"/>
        <w:right w:val="none" w:sz="0" w:space="0" w:color="auto"/>
      </w:divBdr>
    </w:div>
    <w:div w:id="1076051815">
      <w:bodyDiv w:val="1"/>
      <w:marLeft w:val="0"/>
      <w:marRight w:val="0"/>
      <w:marTop w:val="0"/>
      <w:marBottom w:val="0"/>
      <w:divBdr>
        <w:top w:val="none" w:sz="0" w:space="0" w:color="auto"/>
        <w:left w:val="none" w:sz="0" w:space="0" w:color="auto"/>
        <w:bottom w:val="none" w:sz="0" w:space="0" w:color="auto"/>
        <w:right w:val="none" w:sz="0" w:space="0" w:color="auto"/>
      </w:divBdr>
      <w:divsChild>
        <w:div w:id="1739209640">
          <w:marLeft w:val="144"/>
          <w:marRight w:val="0"/>
          <w:marTop w:val="240"/>
          <w:marBottom w:val="40"/>
          <w:divBdr>
            <w:top w:val="none" w:sz="0" w:space="0" w:color="auto"/>
            <w:left w:val="none" w:sz="0" w:space="0" w:color="auto"/>
            <w:bottom w:val="none" w:sz="0" w:space="0" w:color="auto"/>
            <w:right w:val="none" w:sz="0" w:space="0" w:color="auto"/>
          </w:divBdr>
        </w:div>
      </w:divsChild>
    </w:div>
    <w:div w:id="1360929584">
      <w:bodyDiv w:val="1"/>
      <w:marLeft w:val="0"/>
      <w:marRight w:val="0"/>
      <w:marTop w:val="0"/>
      <w:marBottom w:val="0"/>
      <w:divBdr>
        <w:top w:val="none" w:sz="0" w:space="0" w:color="auto"/>
        <w:left w:val="none" w:sz="0" w:space="0" w:color="auto"/>
        <w:bottom w:val="none" w:sz="0" w:space="0" w:color="auto"/>
        <w:right w:val="none" w:sz="0" w:space="0" w:color="auto"/>
      </w:divBdr>
    </w:div>
    <w:div w:id="1386879528">
      <w:bodyDiv w:val="1"/>
      <w:marLeft w:val="0"/>
      <w:marRight w:val="0"/>
      <w:marTop w:val="0"/>
      <w:marBottom w:val="0"/>
      <w:divBdr>
        <w:top w:val="none" w:sz="0" w:space="0" w:color="auto"/>
        <w:left w:val="none" w:sz="0" w:space="0" w:color="auto"/>
        <w:bottom w:val="none" w:sz="0" w:space="0" w:color="auto"/>
        <w:right w:val="none" w:sz="0" w:space="0" w:color="auto"/>
      </w:divBdr>
    </w:div>
    <w:div w:id="1458064690">
      <w:bodyDiv w:val="1"/>
      <w:marLeft w:val="0"/>
      <w:marRight w:val="0"/>
      <w:marTop w:val="0"/>
      <w:marBottom w:val="0"/>
      <w:divBdr>
        <w:top w:val="none" w:sz="0" w:space="0" w:color="auto"/>
        <w:left w:val="none" w:sz="0" w:space="0" w:color="auto"/>
        <w:bottom w:val="none" w:sz="0" w:space="0" w:color="auto"/>
        <w:right w:val="none" w:sz="0" w:space="0" w:color="auto"/>
      </w:divBdr>
    </w:div>
    <w:div w:id="1701053107">
      <w:bodyDiv w:val="1"/>
      <w:marLeft w:val="0"/>
      <w:marRight w:val="0"/>
      <w:marTop w:val="0"/>
      <w:marBottom w:val="0"/>
      <w:divBdr>
        <w:top w:val="none" w:sz="0" w:space="0" w:color="auto"/>
        <w:left w:val="none" w:sz="0" w:space="0" w:color="auto"/>
        <w:bottom w:val="none" w:sz="0" w:space="0" w:color="auto"/>
        <w:right w:val="none" w:sz="0" w:space="0" w:color="auto"/>
      </w:divBdr>
    </w:div>
    <w:div w:id="1813254337">
      <w:bodyDiv w:val="1"/>
      <w:marLeft w:val="0"/>
      <w:marRight w:val="0"/>
      <w:marTop w:val="0"/>
      <w:marBottom w:val="0"/>
      <w:divBdr>
        <w:top w:val="none" w:sz="0" w:space="0" w:color="auto"/>
        <w:left w:val="none" w:sz="0" w:space="0" w:color="auto"/>
        <w:bottom w:val="none" w:sz="0" w:space="0" w:color="auto"/>
        <w:right w:val="none" w:sz="0" w:space="0" w:color="auto"/>
      </w:divBdr>
    </w:div>
    <w:div w:id="1997997728">
      <w:bodyDiv w:val="1"/>
      <w:marLeft w:val="0"/>
      <w:marRight w:val="0"/>
      <w:marTop w:val="0"/>
      <w:marBottom w:val="0"/>
      <w:divBdr>
        <w:top w:val="none" w:sz="0" w:space="0" w:color="auto"/>
        <w:left w:val="none" w:sz="0" w:space="0" w:color="auto"/>
        <w:bottom w:val="none" w:sz="0" w:space="0" w:color="auto"/>
        <w:right w:val="none" w:sz="0" w:space="0" w:color="auto"/>
      </w:divBdr>
    </w:div>
    <w:div w:id="20355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mj.go.c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cid:image002.jpg@01D40D6A.F3ABBD00" TargetMode="External"/><Relationship Id="rId12" Type="http://schemas.openxmlformats.org/officeDocument/2006/relationships/hyperlink" Target="https://twitter.com/justiciaypazc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image003.png@01D40DF4.C9F9CE40" TargetMode="External"/><Relationship Id="rId5" Type="http://schemas.openxmlformats.org/officeDocument/2006/relationships/image" Target="media/image1.jpeg"/><Relationship Id="rId15" Type="http://schemas.openxmlformats.org/officeDocument/2006/relationships/hyperlink" Target="http://www.mjp.go.c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facebook.com/MinisteriodeJusticiayPaz" TargetMode="External"/><Relationship Id="rId14" Type="http://schemas.openxmlformats.org/officeDocument/2006/relationships/image" Target="cid:image004.png@01D40DF4.C9F9CE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Leon Gomez</dc:creator>
  <cp:keywords/>
  <dc:description/>
  <cp:lastModifiedBy>Otto Vargas Masís</cp:lastModifiedBy>
  <cp:revision>2</cp:revision>
  <cp:lastPrinted>2020-09-29T18:56:00Z</cp:lastPrinted>
  <dcterms:created xsi:type="dcterms:W3CDTF">2021-01-28T18:54:00Z</dcterms:created>
  <dcterms:modified xsi:type="dcterms:W3CDTF">2021-01-28T18:54:00Z</dcterms:modified>
</cp:coreProperties>
</file>